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8F" w:rsidRPr="004F2FF9" w:rsidRDefault="00661451" w:rsidP="00942E8F">
      <w:pPr>
        <w:autoSpaceDE w:val="0"/>
        <w:autoSpaceDN w:val="0"/>
        <w:adjustRightInd w:val="0"/>
        <w:jc w:val="both"/>
        <w:rPr>
          <w:rFonts w:eastAsia="ArialMT" w:cs="Tahoma"/>
          <w:b/>
          <w:szCs w:val="20"/>
        </w:rPr>
      </w:pPr>
      <w:bookmarkStart w:id="0" w:name="_GoBack"/>
      <w:bookmarkEnd w:id="0"/>
      <w:r>
        <w:rPr>
          <w:b/>
        </w:rPr>
        <w:t>Type</w:t>
      </w:r>
      <w:r w:rsidR="00BF10AB">
        <w:rPr>
          <w:b/>
        </w:rPr>
        <w:t xml:space="preserve">tabel voor het formaliseren van de beheersing van het brandrisico: </w:t>
      </w:r>
    </w:p>
    <w:p w:rsidR="00BF10AB" w:rsidRPr="000831C0" w:rsidRDefault="00BF10AB" w:rsidP="00942E8F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</w:rPr>
      </w:pPr>
    </w:p>
    <w:tbl>
      <w:tblPr>
        <w:tblStyle w:val="TableGrid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276"/>
        <w:gridCol w:w="1276"/>
        <w:gridCol w:w="1276"/>
        <w:gridCol w:w="1842"/>
        <w:gridCol w:w="1276"/>
        <w:gridCol w:w="992"/>
        <w:gridCol w:w="993"/>
        <w:gridCol w:w="1134"/>
        <w:gridCol w:w="1275"/>
        <w:gridCol w:w="1276"/>
      </w:tblGrid>
      <w:tr w:rsidR="004A42CF" w:rsidRPr="000831C0" w:rsidTr="00C54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tcBorders>
              <w:bottom w:val="nil"/>
            </w:tcBorders>
            <w:shd w:val="clear" w:color="auto" w:fill="FFFFCC"/>
          </w:tcPr>
          <w:p w:rsidR="00704E94" w:rsidRPr="00704E94" w:rsidRDefault="00704E94" w:rsidP="0027619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 xml:space="preserve">Nr.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CC"/>
          </w:tcPr>
          <w:p w:rsidR="00704E94" w:rsidRDefault="00704E94" w:rsidP="004A42C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 xml:space="preserve">Plaats in de inrichting </w:t>
            </w:r>
          </w:p>
          <w:p w:rsidR="004A42CF" w:rsidRPr="00433592" w:rsidRDefault="00654DD6" w:rsidP="004A42CF">
            <w:pPr>
              <w:autoSpaceDE w:val="0"/>
              <w:autoSpaceDN w:val="0"/>
              <w:adjustRightInd w:val="0"/>
              <w:jc w:val="both"/>
              <w:rPr>
                <w:rFonts w:asciiTheme="minorHAnsi" w:eastAsia="ArialMT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of</w:t>
            </w:r>
            <w:r w:rsidR="00433592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CC"/>
          </w:tcPr>
          <w:p w:rsidR="00704E94" w:rsidRPr="00654DD6" w:rsidRDefault="00704E94" w:rsidP="004A42CF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it-IT"/>
              </w:rPr>
            </w:pPr>
            <w:r w:rsidRPr="00654DD6">
              <w:rPr>
                <w:sz w:val="16"/>
                <w:lang w:val="it-IT"/>
              </w:rPr>
              <w:t>Beschouwd</w:t>
            </w:r>
            <w:r w:rsidR="00654DD6" w:rsidRPr="00654DD6">
              <w:rPr>
                <w:sz w:val="16"/>
                <w:lang w:val="it-IT"/>
              </w:rPr>
              <w:t>(e)</w:t>
            </w:r>
          </w:p>
          <w:p w:rsidR="004A42CF" w:rsidRPr="00704E94" w:rsidRDefault="00DE4E43" w:rsidP="00DE4E43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  <w:lang w:val="it-IT"/>
              </w:rPr>
              <w:t>product(en)/</w:t>
            </w:r>
            <w:r w:rsidR="00661451">
              <w:rPr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>brandstof(fen)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4A42CF" w:rsidRPr="00704E94" w:rsidRDefault="00704E94" w:rsidP="00F07D94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 xml:space="preserve">Gebeurtenis(sen) </w:t>
            </w:r>
            <w:r w:rsidR="004A42CF">
              <w:rPr>
                <w:sz w:val="16"/>
              </w:rPr>
              <w:t xml:space="preserve">die brand </w:t>
            </w:r>
            <w:r w:rsidR="00DE4E43">
              <w:rPr>
                <w:sz w:val="16"/>
              </w:rPr>
              <w:t>kan</w:t>
            </w:r>
            <w:r w:rsidR="00661451">
              <w:rPr>
                <w:sz w:val="16"/>
              </w:rPr>
              <w:t xml:space="preserve"> </w:t>
            </w:r>
            <w:r w:rsidR="00DE4E43">
              <w:rPr>
                <w:sz w:val="16"/>
              </w:rPr>
              <w:t>/</w:t>
            </w:r>
            <w:r w:rsidR="00661451">
              <w:rPr>
                <w:sz w:val="16"/>
              </w:rPr>
              <w:t xml:space="preserve"> </w:t>
            </w:r>
            <w:r w:rsidR="00DE4E43">
              <w:rPr>
                <w:sz w:val="16"/>
              </w:rPr>
              <w:t>kunnen veroorzaken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shd w:val="clear" w:color="auto" w:fill="FFFFCC"/>
          </w:tcPr>
          <w:p w:rsidR="004A42CF" w:rsidRPr="00704E94" w:rsidRDefault="00704E94" w:rsidP="00DE4E43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B</w:t>
            </w:r>
            <w:r w:rsidR="00DE4E43">
              <w:rPr>
                <w:sz w:val="16"/>
              </w:rPr>
              <w:t>eoogd b</w:t>
            </w:r>
            <w:r>
              <w:rPr>
                <w:sz w:val="16"/>
              </w:rPr>
              <w:t>randscenario</w:t>
            </w:r>
            <w:r w:rsidR="00DE4E43">
              <w:rPr>
                <w:sz w:val="16"/>
              </w:rPr>
              <w:t>/</w:t>
            </w:r>
            <w:r w:rsidR="00661451">
              <w:rPr>
                <w:sz w:val="16"/>
              </w:rPr>
              <w:t xml:space="preserve"> </w:t>
            </w:r>
            <w:r w:rsidR="00DE4E43">
              <w:rPr>
                <w:sz w:val="16"/>
              </w:rPr>
              <w:t>verspreiding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704E94" w:rsidRPr="00704E94" w:rsidRDefault="00654DD6" w:rsidP="00654DD6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Kinetiek</w:t>
            </w:r>
            <w:r w:rsidR="00704E94">
              <w:rPr>
                <w:sz w:val="16"/>
              </w:rPr>
              <w:t>/ du</w:t>
            </w:r>
            <w:r>
              <w:rPr>
                <w:sz w:val="16"/>
              </w:rPr>
              <w:t>ur van de etappes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CC"/>
          </w:tcPr>
          <w:p w:rsidR="00704E94" w:rsidRPr="00654DD6" w:rsidRDefault="00654DD6" w:rsidP="00654DD6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  <w:r w:rsidRPr="00654DD6">
              <w:rPr>
                <w:sz w:val="16"/>
              </w:rPr>
              <w:t>Bron(</w:t>
            </w:r>
            <w:proofErr w:type="spellStart"/>
            <w:r w:rsidRPr="00654DD6">
              <w:rPr>
                <w:sz w:val="16"/>
              </w:rPr>
              <w:t>nen</w:t>
            </w:r>
            <w:proofErr w:type="spellEnd"/>
            <w:r w:rsidRPr="00654DD6">
              <w:rPr>
                <w:sz w:val="16"/>
              </w:rPr>
              <w:t>)</w:t>
            </w:r>
            <w:r w:rsidR="00704E94" w:rsidRPr="00654DD6">
              <w:rPr>
                <w:sz w:val="16"/>
              </w:rPr>
              <w:t>/</w:t>
            </w:r>
            <w:r w:rsidR="00661451">
              <w:rPr>
                <w:sz w:val="16"/>
              </w:rPr>
              <w:t xml:space="preserve"> </w:t>
            </w:r>
            <w:r w:rsidRPr="00654DD6">
              <w:rPr>
                <w:sz w:val="16"/>
              </w:rPr>
              <w:t>Getroffen gecontroleerd</w:t>
            </w:r>
            <w:r>
              <w:rPr>
                <w:sz w:val="16"/>
              </w:rPr>
              <w:t>e</w:t>
            </w:r>
            <w:r w:rsidRPr="00654DD6">
              <w:rPr>
                <w:sz w:val="16"/>
              </w:rPr>
              <w:t xml:space="preserve"> zone(s)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704E94" w:rsidRPr="00704E94" w:rsidRDefault="00654DD6" w:rsidP="005D2CD4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 xml:space="preserve">Kans van </w:t>
            </w:r>
            <w:r w:rsidR="005D2CD4">
              <w:rPr>
                <w:sz w:val="16"/>
              </w:rPr>
              <w:t>ontstaan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704E94" w:rsidRPr="00654DD6" w:rsidRDefault="00654DD6" w:rsidP="00F25CC9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  <w:r w:rsidRPr="00654DD6">
              <w:rPr>
                <w:sz w:val="16"/>
              </w:rPr>
              <w:t>G</w:t>
            </w:r>
            <w:r w:rsidR="00DE4E43">
              <w:rPr>
                <w:sz w:val="16"/>
              </w:rPr>
              <w:t>e</w:t>
            </w:r>
            <w:r w:rsidRPr="00654DD6">
              <w:rPr>
                <w:sz w:val="16"/>
              </w:rPr>
              <w:t>volgen</w:t>
            </w:r>
            <w:r w:rsidR="00704E94" w:rsidRPr="00654DD6">
              <w:rPr>
                <w:sz w:val="16"/>
              </w:rPr>
              <w:t>:</w:t>
            </w:r>
          </w:p>
          <w:p w:rsidR="00704E94" w:rsidRPr="00654DD6" w:rsidRDefault="00704E94" w:rsidP="00F25CC9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  <w:r w:rsidRPr="00654DD6">
              <w:rPr>
                <w:sz w:val="16"/>
              </w:rPr>
              <w:t xml:space="preserve">Impact </w:t>
            </w:r>
            <w:r w:rsidR="00654DD6" w:rsidRPr="00654DD6">
              <w:rPr>
                <w:sz w:val="16"/>
              </w:rPr>
              <w:t>op bron(</w:t>
            </w:r>
            <w:proofErr w:type="spellStart"/>
            <w:r w:rsidR="00654DD6" w:rsidRPr="00654DD6">
              <w:rPr>
                <w:sz w:val="16"/>
              </w:rPr>
              <w:t>nen</w:t>
            </w:r>
            <w:proofErr w:type="spellEnd"/>
            <w:r w:rsidR="00654DD6" w:rsidRPr="00654DD6">
              <w:rPr>
                <w:sz w:val="16"/>
              </w:rPr>
              <w:t>)/getroffen zone(s)</w:t>
            </w:r>
            <w:r w:rsidRPr="00654DD6">
              <w:rPr>
                <w:sz w:val="16"/>
              </w:rPr>
              <w:t xml:space="preserve"> </w:t>
            </w:r>
          </w:p>
          <w:p w:rsidR="00704E94" w:rsidRPr="00704E94" w:rsidRDefault="004A1459" w:rsidP="005D2CD4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(</w:t>
            </w:r>
            <w:r w:rsidR="005D2CD4">
              <w:rPr>
                <w:sz w:val="16"/>
              </w:rPr>
              <w:t>bestraling</w:t>
            </w:r>
            <w:r w:rsidR="00654DD6">
              <w:rPr>
                <w:sz w:val="16"/>
              </w:rPr>
              <w:t>/contaminatie</w:t>
            </w:r>
            <w:r>
              <w:rPr>
                <w:sz w:val="16"/>
              </w:rPr>
              <w:t xml:space="preserve"> &amp; </w:t>
            </w:r>
            <w:r w:rsidR="005D2CD4">
              <w:rPr>
                <w:sz w:val="16"/>
              </w:rPr>
              <w:t>verspreiding</w:t>
            </w:r>
            <w:r>
              <w:rPr>
                <w:sz w:val="16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704E94" w:rsidRPr="00704E94" w:rsidRDefault="00704E94" w:rsidP="00654DD6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Barrières e</w:t>
            </w:r>
            <w:r w:rsidR="00654DD6">
              <w:rPr>
                <w:sz w:val="16"/>
              </w:rPr>
              <w:t>n hun prestaties</w:t>
            </w:r>
            <w:r>
              <w:rPr>
                <w:sz w:val="16"/>
              </w:rPr>
              <w:t xml:space="preserve"> </w:t>
            </w:r>
          </w:p>
        </w:tc>
      </w:tr>
      <w:tr w:rsidR="006211EA" w:rsidRPr="000831C0" w:rsidTr="00C5494B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Default="00654DD6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Uitrusting</w:t>
            </w:r>
            <w:r w:rsidR="006211EA">
              <w:rPr>
                <w:sz w:val="16"/>
              </w:rPr>
              <w:t>/</w:t>
            </w:r>
          </w:p>
          <w:p w:rsidR="006211EA" w:rsidRPr="00704E94" w:rsidRDefault="006211EA" w:rsidP="00654DD6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Activit</w:t>
            </w:r>
            <w:r w:rsidR="00654DD6">
              <w:rPr>
                <w:sz w:val="16"/>
              </w:rPr>
              <w:t>eit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4A42CF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211EA" w:rsidRPr="00704E94" w:rsidRDefault="006211EA" w:rsidP="00B2380E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654DD6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 xml:space="preserve">Zone </w:t>
            </w:r>
            <w:r w:rsidR="00654DD6">
              <w:rPr>
                <w:sz w:val="16"/>
              </w:rPr>
              <w:t>zelf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Rest</w:t>
            </w:r>
            <w:r w:rsidR="00654DD6">
              <w:rPr>
                <w:sz w:val="16"/>
              </w:rPr>
              <w:t xml:space="preserve"> van de site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54DD6" w:rsidP="00654DD6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Buiten de site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54DD6" w:rsidP="00654DD6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Al aanwezig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54DD6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Toe te voegen</w:t>
            </w:r>
          </w:p>
        </w:tc>
      </w:tr>
      <w:tr w:rsidR="006211EA" w:rsidRPr="00B919F4" w:rsidTr="00C549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1459" w:rsidRPr="00B919F4" w:rsidRDefault="004A1459" w:rsidP="004A1459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803AF5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502B4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</w:tr>
      <w:tr w:rsidR="0057751C" w:rsidRPr="00B919F4" w:rsidTr="00C549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D45C83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803AF5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502B4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</w:tr>
      <w:tr w:rsidR="006211EA" w:rsidRPr="00B919F4" w:rsidTr="00C5494B">
        <w:tc>
          <w:tcPr>
            <w:tcW w:w="534" w:type="dxa"/>
            <w:tcBorders>
              <w:top w:val="single" w:sz="4" w:space="0" w:color="auto"/>
            </w:tcBorders>
          </w:tcPr>
          <w:p w:rsidR="006211EA" w:rsidRPr="00B919F4" w:rsidRDefault="00D45C83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rFonts w:eastAsia="ArialMT" w:cs="Tahoma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11EA" w:rsidRPr="00B919F4" w:rsidRDefault="006211EA" w:rsidP="00942E8F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11EA" w:rsidRPr="00B919F4" w:rsidRDefault="006211EA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</w:tr>
    </w:tbl>
    <w:p w:rsidR="00942E8F" w:rsidRPr="00B919F4" w:rsidRDefault="00942E8F" w:rsidP="00942E8F">
      <w:pPr>
        <w:autoSpaceDE w:val="0"/>
        <w:autoSpaceDN w:val="0"/>
        <w:adjustRightInd w:val="0"/>
        <w:jc w:val="both"/>
        <w:rPr>
          <w:rFonts w:asciiTheme="minorHAnsi" w:eastAsia="ArialMT" w:hAnsiTheme="minorHAnsi" w:cs="Tahoma"/>
          <w:sz w:val="16"/>
          <w:szCs w:val="16"/>
        </w:rPr>
      </w:pPr>
    </w:p>
    <w:p w:rsidR="00BF10AB" w:rsidRDefault="00D45C83">
      <w:pPr>
        <w:rPr>
          <w:b/>
        </w:rPr>
      </w:pPr>
      <w:r>
        <w:rPr>
          <w:b/>
        </w:rPr>
        <w:t xml:space="preserve">In meer complexe situatie </w:t>
      </w:r>
      <w:r w:rsidR="005D2CD4">
        <w:rPr>
          <w:b/>
        </w:rPr>
        <w:t>met</w:t>
      </w:r>
      <w:r>
        <w:rPr>
          <w:b/>
        </w:rPr>
        <w:t xml:space="preserve"> betrekking </w:t>
      </w:r>
      <w:r w:rsidR="005D2CD4">
        <w:rPr>
          <w:b/>
        </w:rPr>
        <w:t>tot de risico’s van</w:t>
      </w:r>
      <w:r>
        <w:rPr>
          <w:b/>
        </w:rPr>
        <w:t xml:space="preserve"> brand  </w:t>
      </w:r>
      <w:r w:rsidR="00DE4E43" w:rsidRPr="00DE4E43">
        <w:rPr>
          <w:b/>
        </w:rPr>
        <w:t>kan</w:t>
      </w:r>
      <w:r>
        <w:rPr>
          <w:b/>
        </w:rPr>
        <w:t xml:space="preserve"> een schematische </w:t>
      </w:r>
      <w:r w:rsidR="005D2CD4">
        <w:rPr>
          <w:b/>
        </w:rPr>
        <w:t>voorstelling</w:t>
      </w:r>
      <w:r w:rsidR="00DE4E43" w:rsidRPr="00DE4E43">
        <w:rPr>
          <w:b/>
        </w:rPr>
        <w:t xml:space="preserve"> nuttig zijn:</w:t>
      </w:r>
      <w:r w:rsidR="00B059ED" w:rsidRPr="00DE4E43">
        <w:rPr>
          <w:b/>
        </w:rPr>
        <w:t xml:space="preserve"> </w:t>
      </w:r>
    </w:p>
    <w:p w:rsidR="00D45C83" w:rsidRPr="00DE4E43" w:rsidRDefault="00D45C8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6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1559"/>
        <w:gridCol w:w="425"/>
        <w:gridCol w:w="1701"/>
        <w:gridCol w:w="426"/>
        <w:gridCol w:w="2268"/>
        <w:gridCol w:w="567"/>
        <w:gridCol w:w="2126"/>
        <w:gridCol w:w="425"/>
        <w:gridCol w:w="2126"/>
        <w:gridCol w:w="2126"/>
      </w:tblGrid>
      <w:tr w:rsidR="00B2380E" w:rsidTr="00B2380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80E" w:rsidRPr="00DE4E43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>Val van een fles van een transpalet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-&gt;</w:t>
            </w:r>
          </w:p>
        </w:tc>
        <w:tc>
          <w:tcPr>
            <w:tcW w:w="1559" w:type="dxa"/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Lek van ontvlambaar solvent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2380E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-&gt;</w:t>
            </w:r>
          </w:p>
        </w:tc>
        <w:tc>
          <w:tcPr>
            <w:tcW w:w="1701" w:type="dxa"/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Ontbranding door een sigarettenpeuk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2380E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-&gt;</w:t>
            </w:r>
          </w:p>
        </w:tc>
        <w:tc>
          <w:tcPr>
            <w:tcW w:w="2268" w:type="dxa"/>
          </w:tcPr>
          <w:p w:rsidR="00B2380E" w:rsidRPr="00107144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Het rek met ontvlambare flessen vat vuur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-&gt;</w:t>
            </w:r>
          </w:p>
        </w:tc>
        <w:tc>
          <w:tcPr>
            <w:tcW w:w="2126" w:type="dxa"/>
          </w:tcPr>
          <w:p w:rsidR="00B2380E" w:rsidRPr="00DD3337" w:rsidRDefault="00B2380E" w:rsidP="004E539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De muur begeeft het door de hitte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2380E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6"/>
              </w:rPr>
              <w:t>-&gt;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E" w:rsidRPr="00DD3337" w:rsidRDefault="005D2CD4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>De vuurhaard bereikt</w:t>
            </w:r>
            <w:r w:rsidR="00B2380E">
              <w:rPr>
                <w:sz w:val="18"/>
              </w:rPr>
              <w:t xml:space="preserve"> de bronnen van het naburige labo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>…</w:t>
            </w:r>
          </w:p>
        </w:tc>
      </w:tr>
    </w:tbl>
    <w:p w:rsidR="00BF10AB" w:rsidRDefault="00BF10AB" w:rsidP="00BF10AB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</w:rPr>
      </w:pPr>
    </w:p>
    <w:p w:rsidR="00BF10AB" w:rsidRPr="00C5494B" w:rsidRDefault="00915F9F">
      <w:pPr>
        <w:rPr>
          <w:lang w:eastAsia="fr-FR" w:bidi="ar-SA"/>
        </w:rPr>
      </w:pPr>
      <w:r w:rsidRPr="00C5494B">
        <w:rPr>
          <w:lang w:eastAsia="fr-FR" w:bidi="ar-SA"/>
        </w:rPr>
        <w:t>De barrières "B" kunnen worden aangeduid, evenals hun positionering in het verloop van het scenario, bijvoorbeeld:</w:t>
      </w:r>
    </w:p>
    <w:p w:rsidR="00DD3337" w:rsidRPr="009D1D81" w:rsidRDefault="00DD3337" w:rsidP="00DD3337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</w:rPr>
      </w:pPr>
    </w:p>
    <w:tbl>
      <w:tblPr>
        <w:tblStyle w:val="TableGrid"/>
        <w:tblW w:w="16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559"/>
        <w:gridCol w:w="567"/>
        <w:gridCol w:w="1559"/>
        <w:gridCol w:w="567"/>
        <w:gridCol w:w="2127"/>
        <w:gridCol w:w="567"/>
        <w:gridCol w:w="2126"/>
        <w:gridCol w:w="425"/>
        <w:gridCol w:w="2126"/>
        <w:gridCol w:w="2126"/>
      </w:tblGrid>
      <w:tr w:rsidR="00B2380E" w:rsidTr="00B2380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40"/>
                <w:szCs w:val="40"/>
              </w:rPr>
            </w:pPr>
            <w:r>
              <w:rPr>
                <w:sz w:val="40"/>
              </w:rPr>
              <w:t xml:space="preserve">l </w:t>
            </w:r>
            <w:proofErr w:type="spellStart"/>
            <w:r>
              <w:rPr>
                <w:sz w:val="40"/>
              </w:rPr>
              <w:t>l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>Val van een fles van een transpalet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Default="00B2380E" w:rsidP="00107144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40"/>
              </w:rPr>
              <w:t xml:space="preserve"> l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Lek van ontvlambaar solvent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Default="00B2380E" w:rsidP="00107144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40"/>
              </w:rPr>
              <w:t>l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40"/>
              </w:rPr>
              <w:t>l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Ontbranding door een sigarettenpeuk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Default="00B2380E" w:rsidP="00556003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40"/>
              </w:rPr>
              <w:t xml:space="preserve">l </w:t>
            </w:r>
            <w:proofErr w:type="spellStart"/>
            <w:r>
              <w:rPr>
                <w:sz w:val="40"/>
              </w:rPr>
              <w:t>l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7" w:type="dxa"/>
          </w:tcPr>
          <w:p w:rsidR="00B2380E" w:rsidRPr="00107144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Het rek met ontvlambare flessen vat vuur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40"/>
              </w:rPr>
              <w:t xml:space="preserve">l </w:t>
            </w:r>
            <w:proofErr w:type="spellStart"/>
            <w:r>
              <w:rPr>
                <w:sz w:val="40"/>
              </w:rPr>
              <w:t>l</w:t>
            </w:r>
            <w:proofErr w:type="spellEnd"/>
          </w:p>
        </w:tc>
        <w:tc>
          <w:tcPr>
            <w:tcW w:w="2126" w:type="dxa"/>
          </w:tcPr>
          <w:p w:rsidR="00B2380E" w:rsidRPr="00DD3337" w:rsidRDefault="00B2380E" w:rsidP="0057751C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De muur begeeft het door de hitte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2380E" w:rsidRDefault="00B2380E" w:rsidP="004F2FF9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40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E" w:rsidRPr="00DD3337" w:rsidRDefault="005D2CD4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De vuurhaard bereikt </w:t>
            </w:r>
            <w:r w:rsidR="00B2380E">
              <w:rPr>
                <w:sz w:val="18"/>
              </w:rPr>
              <w:t>de bronnen van het naburige labo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80E" w:rsidRPr="00DD3337" w:rsidRDefault="00B2380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>…</w:t>
            </w:r>
          </w:p>
        </w:tc>
      </w:tr>
    </w:tbl>
    <w:p w:rsidR="00DD3337" w:rsidRDefault="00DD3337" w:rsidP="00DD3337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</w:rPr>
      </w:pPr>
      <w:r>
        <w:rPr>
          <w:sz w:val="16"/>
        </w:rPr>
        <w:t xml:space="preserve">B1 B2                                           B3                                   B4 B5 </w:t>
      </w:r>
      <w:r w:rsidR="00D45C83">
        <w:rPr>
          <w:sz w:val="16"/>
        </w:rPr>
        <w:t xml:space="preserve"> </w:t>
      </w:r>
      <w:r>
        <w:rPr>
          <w:sz w:val="16"/>
        </w:rPr>
        <w:t xml:space="preserve">                          B6  B7                                             B8… </w:t>
      </w:r>
    </w:p>
    <w:p w:rsidR="00DD3337" w:rsidRPr="00B919F4" w:rsidRDefault="00DD3337" w:rsidP="00DD3337">
      <w:pPr>
        <w:autoSpaceDE w:val="0"/>
        <w:autoSpaceDN w:val="0"/>
        <w:adjustRightInd w:val="0"/>
        <w:jc w:val="both"/>
        <w:rPr>
          <w:rFonts w:asciiTheme="minorHAnsi" w:eastAsia="ArialMT" w:hAnsiTheme="minorHAnsi" w:cs="Taho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506"/>
      </w:tblGrid>
      <w:tr w:rsidR="004F2FF9" w:rsidRPr="008F54EE" w:rsidTr="004F2FF9">
        <w:tc>
          <w:tcPr>
            <w:tcW w:w="7506" w:type="dxa"/>
          </w:tcPr>
          <w:p w:rsidR="004F2FF9" w:rsidRPr="004F2FF9" w:rsidRDefault="0057751C" w:rsidP="004F2FF9">
            <w:pPr>
              <w:rPr>
                <w:sz w:val="18"/>
                <w:szCs w:val="18"/>
              </w:rPr>
            </w:pPr>
            <w:r>
              <w:rPr>
                <w:sz w:val="18"/>
              </w:rPr>
              <w:t>Waarin B1: de flessen vastmaken op de transpaletten/in een kist zetten</w:t>
            </w:r>
          </w:p>
          <w:p w:rsidR="004F2FF9" w:rsidRPr="004F2FF9" w:rsidRDefault="0057751C" w:rsidP="004F2FF9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B2: de leveranciers opleiden to</w:t>
            </w:r>
            <w:r w:rsidR="00661451">
              <w:rPr>
                <w:sz w:val="18"/>
              </w:rPr>
              <w:t xml:space="preserve">t het laden en gebruiken van de transpaletten </w:t>
            </w:r>
          </w:p>
          <w:p w:rsidR="004F2FF9" w:rsidRPr="004F2FF9" w:rsidRDefault="0057751C" w:rsidP="004F2FF9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B3: bij de aankoop vermelden dat er stevige flessen moeten worden gebruikt </w:t>
            </w:r>
          </w:p>
          <w:p w:rsidR="004F2FF9" w:rsidRPr="004F2FF9" w:rsidRDefault="0057751C" w:rsidP="004F2FF9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B4: tijdens de opleiding van de werknemers wijzen op het rookverbod </w:t>
            </w:r>
          </w:p>
        </w:tc>
        <w:tc>
          <w:tcPr>
            <w:tcW w:w="7506" w:type="dxa"/>
          </w:tcPr>
          <w:p w:rsidR="004F2FF9" w:rsidRPr="004F2FF9" w:rsidRDefault="004F2FF9" w:rsidP="004F2FF9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B5: pictogrammen "verboden te roken" </w:t>
            </w:r>
            <w:r w:rsidR="008C74C8">
              <w:rPr>
                <w:sz w:val="18"/>
              </w:rPr>
              <w:t>aanbrengen</w:t>
            </w:r>
          </w:p>
          <w:p w:rsidR="004F2FF9" w:rsidRPr="004F2FF9" w:rsidRDefault="004F2FF9" w:rsidP="004F2FF9">
            <w:pPr>
              <w:rPr>
                <w:sz w:val="18"/>
                <w:szCs w:val="18"/>
              </w:rPr>
            </w:pPr>
            <w:r>
              <w:rPr>
                <w:sz w:val="18"/>
              </w:rPr>
              <w:t>B6: de gestockeerde hoeveelheid beperken</w:t>
            </w:r>
          </w:p>
          <w:p w:rsidR="004F2FF9" w:rsidRPr="004F2FF9" w:rsidRDefault="004F2FF9" w:rsidP="004F2FF9">
            <w:pPr>
              <w:rPr>
                <w:sz w:val="18"/>
                <w:szCs w:val="18"/>
              </w:rPr>
            </w:pPr>
            <w:r>
              <w:rPr>
                <w:sz w:val="18"/>
              </w:rPr>
              <w:t>B7: de</w:t>
            </w:r>
            <w:r w:rsidR="00654DD6">
              <w:rPr>
                <w:sz w:val="18"/>
              </w:rPr>
              <w:t>te</w:t>
            </w:r>
            <w:r>
              <w:rPr>
                <w:sz w:val="18"/>
              </w:rPr>
              <w:t xml:space="preserve">ctie in </w:t>
            </w:r>
            <w:r w:rsidR="008C74C8">
              <w:rPr>
                <w:sz w:val="18"/>
              </w:rPr>
              <w:t>(</w:t>
            </w:r>
            <w:r>
              <w:rPr>
                <w:sz w:val="18"/>
              </w:rPr>
              <w:t>het</w:t>
            </w:r>
            <w:r w:rsidR="008C74C8">
              <w:rPr>
                <w:sz w:val="18"/>
              </w:rPr>
              <w:t>)</w:t>
            </w:r>
            <w:r>
              <w:rPr>
                <w:sz w:val="18"/>
              </w:rPr>
              <w:t xml:space="preserve"> (de) aanpalende compartiment(en) van </w:t>
            </w:r>
            <w:proofErr w:type="spellStart"/>
            <w:r>
              <w:rPr>
                <w:sz w:val="18"/>
              </w:rPr>
              <w:t>comPRI</w:t>
            </w:r>
            <w:proofErr w:type="spellEnd"/>
            <w:r>
              <w:rPr>
                <w:sz w:val="18"/>
              </w:rPr>
              <w:t xml:space="preserve"> </w:t>
            </w:r>
          </w:p>
          <w:p w:rsidR="00B919F4" w:rsidRPr="004F2FF9" w:rsidRDefault="006B1E1A" w:rsidP="00654DD6">
            <w:pPr>
              <w:rPr>
                <w:sz w:val="18"/>
                <w:szCs w:val="18"/>
              </w:rPr>
            </w:pPr>
            <w:r>
              <w:rPr>
                <w:sz w:val="18"/>
              </w:rPr>
              <w:t>B8:</w:t>
            </w:r>
            <w:r w:rsidR="00654DD6">
              <w:rPr>
                <w:sz w:val="18"/>
              </w:rPr>
              <w:t xml:space="preserve"> </w:t>
            </w:r>
            <w:r>
              <w:rPr>
                <w:sz w:val="18"/>
              </w:rPr>
              <w:t>wand van een EI 120 minuten   ………</w:t>
            </w:r>
          </w:p>
        </w:tc>
      </w:tr>
    </w:tbl>
    <w:p w:rsidR="00B919F4" w:rsidRPr="00B919F4" w:rsidRDefault="00B919F4" w:rsidP="00D34420">
      <w:pPr>
        <w:autoSpaceDE w:val="0"/>
        <w:autoSpaceDN w:val="0"/>
        <w:adjustRightInd w:val="0"/>
        <w:ind w:left="426" w:hanging="426"/>
        <w:jc w:val="both"/>
        <w:rPr>
          <w:rFonts w:asciiTheme="minorHAnsi" w:eastAsia="ArialMT" w:hAnsiTheme="minorHAnsi" w:cs="Tahoma"/>
          <w:sz w:val="16"/>
          <w:szCs w:val="16"/>
        </w:rPr>
      </w:pPr>
    </w:p>
    <w:p w:rsidR="00554714" w:rsidRDefault="000F442E" w:rsidP="00B919F4">
      <w:pPr>
        <w:autoSpaceDE w:val="0"/>
        <w:autoSpaceDN w:val="0"/>
        <w:adjustRightInd w:val="0"/>
        <w:jc w:val="both"/>
        <w:rPr>
          <w:rFonts w:eastAsia="ArialMT" w:cs="Tahoma"/>
          <w:szCs w:val="20"/>
        </w:rPr>
      </w:pPr>
      <w:r>
        <w:t xml:space="preserve">Vaak kan een brand (ERC) op een bepaalde plaats aan </w:t>
      </w:r>
      <w:r w:rsidR="008C74C8">
        <w:t>meerdere</w:t>
      </w:r>
      <w:r>
        <w:t xml:space="preserve"> oorzaken worden toegeschreven en </w:t>
      </w:r>
      <w:r w:rsidR="008C74C8">
        <w:t xml:space="preserve">kan </w:t>
      </w:r>
      <w:r>
        <w:t>verschillende gevolg</w:t>
      </w:r>
      <w:r w:rsidR="00661451">
        <w:t>en hebben. De verschillende sce</w:t>
      </w:r>
      <w:r>
        <w:t>nario's worden dan weergegeven in de vorm van een "</w:t>
      </w:r>
      <w:r>
        <w:rPr>
          <w:b/>
        </w:rPr>
        <w:t>boom</w:t>
      </w:r>
      <w:r>
        <w:t xml:space="preserve">" (met verschillende takken) waarop de combinaties van gebeurtenissen worden aangeduid (*). Met deze tweede </w:t>
      </w:r>
      <w:r w:rsidR="008C74C8">
        <w:t xml:space="preserve">manier van </w:t>
      </w:r>
      <w:r>
        <w:t>voorstell</w:t>
      </w:r>
      <w:r w:rsidR="008C74C8">
        <w:t xml:space="preserve">en </w:t>
      </w:r>
      <w:r>
        <w:t xml:space="preserve">kan de oorspronkelijke tabel vaak </w:t>
      </w:r>
      <w:r w:rsidR="008C74C8">
        <w:t xml:space="preserve">verder </w:t>
      </w:r>
      <w:r>
        <w:t>worden aangevuld (nieuwe oorzaken en/of uitsplitsing ervan in verschillende andere oorzaken).</w:t>
      </w:r>
    </w:p>
    <w:p w:rsidR="00502C8D" w:rsidRPr="00C9374E" w:rsidRDefault="008C74C8" w:rsidP="00BE175B">
      <w:pPr>
        <w:autoSpaceDE w:val="0"/>
        <w:autoSpaceDN w:val="0"/>
        <w:adjustRightInd w:val="0"/>
        <w:jc w:val="both"/>
        <w:rPr>
          <w:rFonts w:eastAsia="ArialMT" w:cs="Tahoma"/>
          <w:szCs w:val="20"/>
        </w:rPr>
      </w:pPr>
      <w:r>
        <w:t xml:space="preserve">Het aantal bomen wordt bepaald door het aantal </w:t>
      </w:r>
      <w:r w:rsidR="00C9374E">
        <w:t xml:space="preserve">plaatsen waar brand kan uitbreken. </w:t>
      </w:r>
    </w:p>
    <w:p w:rsidR="00F07D94" w:rsidRDefault="00F07D94" w:rsidP="00BE175B">
      <w:pPr>
        <w:autoSpaceDE w:val="0"/>
        <w:autoSpaceDN w:val="0"/>
        <w:adjustRightInd w:val="0"/>
        <w:jc w:val="both"/>
        <w:rPr>
          <w:sz w:val="16"/>
        </w:rPr>
      </w:pPr>
    </w:p>
    <w:p w:rsidR="00BE175B" w:rsidRPr="00D45C83" w:rsidRDefault="00502C8D" w:rsidP="00BE175B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</w:rPr>
      </w:pPr>
      <w:r w:rsidRPr="00654DD6">
        <w:rPr>
          <w:sz w:val="16"/>
        </w:rPr>
        <w:t xml:space="preserve">           </w:t>
      </w:r>
      <w:r w:rsidR="00D45C83">
        <w:rPr>
          <w:sz w:val="16"/>
        </w:rPr>
        <w:t>Preventiebarrière    Beschermingsbarrière</w:t>
      </w:r>
      <w:r w:rsidR="00654DD6">
        <w:rPr>
          <w:sz w:val="16"/>
        </w:rPr>
        <w:tab/>
      </w:r>
      <w:r w:rsidR="00654DD6">
        <w:rPr>
          <w:sz w:val="16"/>
        </w:rPr>
        <w:tab/>
      </w:r>
      <w:r w:rsidR="00654DD6">
        <w:rPr>
          <w:sz w:val="16"/>
        </w:rPr>
        <w:tab/>
      </w:r>
      <w:r w:rsidR="00654DD6">
        <w:rPr>
          <w:sz w:val="16"/>
        </w:rPr>
        <w:tab/>
      </w:r>
      <w:r w:rsidR="008C74C8">
        <w:rPr>
          <w:sz w:val="16"/>
        </w:rPr>
        <w:tab/>
      </w:r>
      <w:r w:rsidR="008C74C8">
        <w:rPr>
          <w:sz w:val="16"/>
        </w:rPr>
        <w:tab/>
      </w:r>
      <w:r w:rsidR="00D45C83">
        <w:rPr>
          <w:sz w:val="18"/>
        </w:rPr>
        <w:t xml:space="preserve">De vierkantjes </w:t>
      </w:r>
      <w:r w:rsidR="008C74C8">
        <w:rPr>
          <w:sz w:val="18"/>
        </w:rPr>
        <w:t>geven</w:t>
      </w:r>
      <w:r w:rsidR="00D45C83">
        <w:rPr>
          <w:sz w:val="18"/>
        </w:rPr>
        <w:t xml:space="preserve"> de verschillende gebeurtenissen </w:t>
      </w:r>
      <w:r w:rsidR="008C74C8">
        <w:rPr>
          <w:sz w:val="18"/>
        </w:rPr>
        <w:t>weer</w:t>
      </w:r>
      <w:r w:rsidR="00D45C83">
        <w:rPr>
          <w:sz w:val="18"/>
        </w:rPr>
        <w:t xml:space="preserve"> (oorzaken en gevolgen).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9496"/>
      </w:tblGrid>
      <w:tr w:rsidR="00BE175B" w:rsidRPr="00CA10EF" w:rsidTr="00CA10EF">
        <w:tc>
          <w:tcPr>
            <w:tcW w:w="5496" w:type="dxa"/>
          </w:tcPr>
          <w:p w:rsidR="00BE175B" w:rsidRPr="001F6B7B" w:rsidRDefault="001F6B7B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object w:dxaOrig="397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pt;height:89pt" o:ole="">
                  <v:imagedata r:id="rId7" o:title=""/>
                </v:shape>
                <o:OLEObject Type="Embed" ProgID="PBrush" ShapeID="_x0000_i1025" DrawAspect="Content" ObjectID="_1552303472" r:id="rId8"/>
              </w:object>
            </w:r>
          </w:p>
        </w:tc>
        <w:tc>
          <w:tcPr>
            <w:tcW w:w="9496" w:type="dxa"/>
          </w:tcPr>
          <w:p w:rsidR="00BE175B" w:rsidRPr="002E26AE" w:rsidRDefault="002E26A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</w:rPr>
            </w:pPr>
            <w:r>
              <w:rPr>
                <w:sz w:val="18"/>
              </w:rPr>
              <w:t xml:space="preserve">          </w:t>
            </w:r>
            <w:r w:rsidR="00D45C83"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 xml:space="preserve"> </w:t>
            </w:r>
            <w:r w:rsidR="00D45C83" w:rsidRPr="00D45C83">
              <w:rPr>
                <w:sz w:val="18"/>
              </w:rPr>
              <w:t>De verticale streepjes zijn de barrières die worden geplaatst.</w:t>
            </w:r>
          </w:p>
          <w:p w:rsidR="00554714" w:rsidRDefault="00D45C83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  <w:r>
              <w:rPr>
                <w:sz w:val="18"/>
              </w:rPr>
              <w:t xml:space="preserve">                              De pijl in stippellijn geeft de chronologie en de kinetiek van de scenario's weer.</w:t>
            </w:r>
          </w:p>
          <w:p w:rsidR="00C9374E" w:rsidRDefault="00C9374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  <w:p w:rsidR="00BE175B" w:rsidRPr="00DC0D62" w:rsidRDefault="00BE175B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Cs w:val="20"/>
              </w:rPr>
            </w:pPr>
            <w:r>
              <w:t xml:space="preserve">                        </w:t>
            </w:r>
            <w:r>
              <w:rPr>
                <w:color w:val="9BBB59" w:themeColor="accent3"/>
              </w:rPr>
              <w:t xml:space="preserve">Scenario 1: oorzaak 1 - gevolg 1 </w:t>
            </w:r>
          </w:p>
          <w:p w:rsidR="00803AF5" w:rsidRDefault="00BE175B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color w:val="4BACC6" w:themeColor="accent5"/>
                <w:szCs w:val="20"/>
              </w:rPr>
            </w:pPr>
            <w:r>
              <w:t xml:space="preserve">                        </w:t>
            </w:r>
            <w:r>
              <w:rPr>
                <w:color w:val="4BACC6" w:themeColor="accent5"/>
              </w:rPr>
              <w:t xml:space="preserve">Scenario 2: oorzaak 1 - gevolg </w:t>
            </w:r>
            <w:r w:rsidR="00661451">
              <w:rPr>
                <w:color w:val="4BACC6" w:themeColor="accent5"/>
              </w:rPr>
              <w:t>2:</w:t>
            </w:r>
            <w:r>
              <w:rPr>
                <w:color w:val="4BACC6" w:themeColor="accent5"/>
              </w:rPr>
              <w:t xml:space="preserve"> hier bijvoorbeeld omdat </w:t>
            </w:r>
            <w:r w:rsidR="00661451">
              <w:rPr>
                <w:color w:val="4BACC6" w:themeColor="accent5"/>
              </w:rPr>
              <w:t xml:space="preserve">een </w:t>
            </w:r>
          </w:p>
          <w:p w:rsidR="00BE175B" w:rsidRPr="00DC0D62" w:rsidRDefault="00803AF5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Cs w:val="20"/>
              </w:rPr>
            </w:pPr>
            <w:r>
              <w:rPr>
                <w:color w:val="4BACC6" w:themeColor="accent5"/>
              </w:rPr>
              <w:t xml:space="preserve">                                                                     </w:t>
            </w:r>
            <w:r w:rsidR="008C74C8">
              <w:rPr>
                <w:color w:val="4BACC6" w:themeColor="accent5"/>
              </w:rPr>
              <w:t>b</w:t>
            </w:r>
            <w:r>
              <w:rPr>
                <w:color w:val="4BACC6" w:themeColor="accent5"/>
              </w:rPr>
              <w:t>escherm</w:t>
            </w:r>
            <w:r w:rsidR="00654DD6">
              <w:rPr>
                <w:color w:val="4BACC6" w:themeColor="accent5"/>
              </w:rPr>
              <w:t>ings</w:t>
            </w:r>
            <w:r>
              <w:rPr>
                <w:color w:val="4BACC6" w:themeColor="accent5"/>
              </w:rPr>
              <w:t xml:space="preserve">barrière niet heeft </w:t>
            </w:r>
            <w:r w:rsidR="008C74C8">
              <w:rPr>
                <w:color w:val="4BACC6" w:themeColor="accent5"/>
              </w:rPr>
              <w:t>gewerkt</w:t>
            </w:r>
            <w:r>
              <w:rPr>
                <w:color w:val="4BACC6" w:themeColor="accent5"/>
              </w:rPr>
              <w:t xml:space="preserve"> </w:t>
            </w:r>
          </w:p>
          <w:p w:rsidR="00BE175B" w:rsidRPr="002E26AE" w:rsidRDefault="002E26AE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Cs w:val="20"/>
              </w:rPr>
            </w:pPr>
            <w:r>
              <w:rPr>
                <w:sz w:val="16"/>
              </w:rPr>
              <w:t xml:space="preserve">                              </w:t>
            </w:r>
            <w:r>
              <w:t>Scenario x …</w:t>
            </w:r>
          </w:p>
          <w:p w:rsidR="00BE175B" w:rsidRDefault="00BE175B" w:rsidP="00661451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</w:rPr>
            </w:pPr>
          </w:p>
        </w:tc>
      </w:tr>
    </w:tbl>
    <w:p w:rsidR="00E84095" w:rsidRPr="00701E82" w:rsidRDefault="00C727DE" w:rsidP="00B919F4">
      <w:pPr>
        <w:autoSpaceDE w:val="0"/>
        <w:autoSpaceDN w:val="0"/>
        <w:adjustRightInd w:val="0"/>
        <w:jc w:val="both"/>
        <w:rPr>
          <w:noProof/>
          <w:szCs w:val="20"/>
        </w:rPr>
      </w:pPr>
      <w:r>
        <w:t xml:space="preserve">(*) </w:t>
      </w:r>
      <w:r w:rsidR="00320F5F">
        <w:t xml:space="preserve">Dankzij </w:t>
      </w:r>
      <w:r>
        <w:t xml:space="preserve">deze boom zien we dat sommige oorzaken onafhankelijk </w:t>
      </w:r>
      <w:r w:rsidR="00320F5F">
        <w:t>van elkaar voldoende zijn</w:t>
      </w:r>
      <w:r>
        <w:t xml:space="preserve"> </w:t>
      </w:r>
      <w:r w:rsidR="00654DD6">
        <w:t>“</w:t>
      </w:r>
      <w:r>
        <w:t xml:space="preserve">oorzaak 1 </w:t>
      </w:r>
      <w:r>
        <w:rPr>
          <w:u w:val="single"/>
        </w:rPr>
        <w:t>of</w:t>
      </w:r>
      <w:r>
        <w:t xml:space="preserve"> oorzaak 2</w:t>
      </w:r>
      <w:r w:rsidR="00654DD6">
        <w:t>”</w:t>
      </w:r>
      <w:r>
        <w:t xml:space="preserve"> of </w:t>
      </w:r>
      <w:r>
        <w:rPr>
          <w:i/>
        </w:rPr>
        <w:t>tegelijk</w:t>
      </w:r>
      <w:r>
        <w:t xml:space="preserve"> nodig zijn </w:t>
      </w:r>
      <w:r w:rsidR="00935020">
        <w:t>“</w:t>
      </w:r>
      <w:r>
        <w:t xml:space="preserve">oorzaak 1 </w:t>
      </w:r>
      <w:r>
        <w:rPr>
          <w:u w:val="single"/>
        </w:rPr>
        <w:t>en</w:t>
      </w:r>
      <w:r>
        <w:t xml:space="preserve"> oorzaak 2</w:t>
      </w:r>
      <w:r w:rsidR="00935020">
        <w:t>”</w:t>
      </w:r>
      <w:r>
        <w:t xml:space="preserve"> om over te gaan </w:t>
      </w:r>
      <w:r w:rsidR="00320F5F">
        <w:t>naar</w:t>
      </w:r>
      <w:r>
        <w:t xml:space="preserve"> de volgende etappe van het scenario. In dit 2</w:t>
      </w:r>
      <w:r w:rsidRPr="00661451">
        <w:rPr>
          <w:vertAlign w:val="superscript"/>
        </w:rPr>
        <w:t>e</w:t>
      </w:r>
      <w:r>
        <w:t xml:space="preserve"> geval kan het volstaan om </w:t>
      </w:r>
      <w:r w:rsidR="00320F5F">
        <w:t>éé</w:t>
      </w:r>
      <w:r>
        <w:t xml:space="preserve">n van de oorzaken tegen te gaan met behulp van </w:t>
      </w:r>
      <w:r w:rsidR="00320F5F">
        <w:t xml:space="preserve">(een) </w:t>
      </w:r>
      <w:r>
        <w:t>barrière(s)</w:t>
      </w:r>
      <w:r w:rsidR="00320F5F">
        <w:t>, rekening houdende met het mogelijke gevaar</w:t>
      </w:r>
      <w:r>
        <w:t xml:space="preserve">, </w:t>
      </w:r>
      <w:r w:rsidR="00320F5F">
        <w:t>waardoor</w:t>
      </w:r>
      <w:r>
        <w:t xml:space="preserve"> onnodige barrières kunnen worden vermeden (en </w:t>
      </w:r>
      <w:r w:rsidR="00320F5F">
        <w:t xml:space="preserve">bijgevolg </w:t>
      </w:r>
      <w:r>
        <w:t xml:space="preserve">geld </w:t>
      </w:r>
      <w:r w:rsidR="00320F5F">
        <w:t xml:space="preserve">kan </w:t>
      </w:r>
      <w:r>
        <w:t>word</w:t>
      </w:r>
      <w:r w:rsidR="00320F5F">
        <w:t>en</w:t>
      </w:r>
      <w:r>
        <w:t xml:space="preserve"> </w:t>
      </w:r>
      <w:r w:rsidR="00935020">
        <w:t>bespaard</w:t>
      </w:r>
      <w:r>
        <w:t>). Een andere manier is om de kans dat verschillende oorzaken zich tegelijk voordoen te verhinderen of te verkleinen (bv</w:t>
      </w:r>
      <w:r w:rsidR="00661451">
        <w:t>.</w:t>
      </w:r>
      <w:r>
        <w:t xml:space="preserve"> door hun duur te verminderen). De boom geeft ook duidelijk aan </w:t>
      </w:r>
      <w:r w:rsidR="00320F5F">
        <w:t>in</w:t>
      </w:r>
      <w:r>
        <w:t xml:space="preserve"> welk </w:t>
      </w:r>
      <w:r w:rsidR="00320F5F">
        <w:t>stadium</w:t>
      </w:r>
      <w:r>
        <w:t xml:space="preserve"> in het scenario een barrière </w:t>
      </w:r>
      <w:r w:rsidR="00320F5F">
        <w:t>voor een</w:t>
      </w:r>
      <w:r w:rsidR="00320F5F" w:rsidRPr="00320F5F">
        <w:t xml:space="preserve"> </w:t>
      </w:r>
      <w:r w:rsidR="00320F5F">
        <w:t>bepaalde oorzaak of een bepaald gevolg moet worden geplaatst</w:t>
      </w:r>
      <w:r>
        <w:t>.</w:t>
      </w:r>
    </w:p>
    <w:sectPr w:rsidR="00E84095" w:rsidRPr="00701E82" w:rsidSect="00F07D94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65" w:rsidRDefault="00293065" w:rsidP="00871660">
      <w:r>
        <w:separator/>
      </w:r>
    </w:p>
  </w:endnote>
  <w:endnote w:type="continuationSeparator" w:id="0">
    <w:p w:rsidR="00293065" w:rsidRDefault="00293065" w:rsidP="0087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65" w:rsidRDefault="00293065" w:rsidP="00871660">
      <w:r>
        <w:separator/>
      </w:r>
    </w:p>
  </w:footnote>
  <w:footnote w:type="continuationSeparator" w:id="0">
    <w:p w:rsidR="00293065" w:rsidRDefault="00293065" w:rsidP="0087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8F"/>
    <w:rsid w:val="000033A2"/>
    <w:rsid w:val="0003068F"/>
    <w:rsid w:val="00032050"/>
    <w:rsid w:val="0007428F"/>
    <w:rsid w:val="000C0F65"/>
    <w:rsid w:val="000F442E"/>
    <w:rsid w:val="00107144"/>
    <w:rsid w:val="00131AA6"/>
    <w:rsid w:val="00190423"/>
    <w:rsid w:val="001F6B7B"/>
    <w:rsid w:val="00236EAF"/>
    <w:rsid w:val="002464AA"/>
    <w:rsid w:val="0027619F"/>
    <w:rsid w:val="00293065"/>
    <w:rsid w:val="002E26AE"/>
    <w:rsid w:val="002F5FD9"/>
    <w:rsid w:val="00314855"/>
    <w:rsid w:val="00320F5F"/>
    <w:rsid w:val="003E08FE"/>
    <w:rsid w:val="00430616"/>
    <w:rsid w:val="00433592"/>
    <w:rsid w:val="004A1418"/>
    <w:rsid w:val="004A1459"/>
    <w:rsid w:val="004A42CF"/>
    <w:rsid w:val="004B4143"/>
    <w:rsid w:val="004D17B7"/>
    <w:rsid w:val="004E539A"/>
    <w:rsid w:val="004F2FF9"/>
    <w:rsid w:val="00502B4F"/>
    <w:rsid w:val="00502C8D"/>
    <w:rsid w:val="00554714"/>
    <w:rsid w:val="00556003"/>
    <w:rsid w:val="0057751C"/>
    <w:rsid w:val="005C06F8"/>
    <w:rsid w:val="005D16F2"/>
    <w:rsid w:val="005D2CD4"/>
    <w:rsid w:val="005F542A"/>
    <w:rsid w:val="005F787E"/>
    <w:rsid w:val="006211EA"/>
    <w:rsid w:val="0065002B"/>
    <w:rsid w:val="00654DD6"/>
    <w:rsid w:val="00661451"/>
    <w:rsid w:val="00677754"/>
    <w:rsid w:val="006B1E1A"/>
    <w:rsid w:val="006D1D44"/>
    <w:rsid w:val="00701E82"/>
    <w:rsid w:val="00704E94"/>
    <w:rsid w:val="00714AA6"/>
    <w:rsid w:val="0071761B"/>
    <w:rsid w:val="00782F70"/>
    <w:rsid w:val="007A6F4D"/>
    <w:rsid w:val="00803AF5"/>
    <w:rsid w:val="00813E61"/>
    <w:rsid w:val="00822BD0"/>
    <w:rsid w:val="00854D6D"/>
    <w:rsid w:val="00864D97"/>
    <w:rsid w:val="00871660"/>
    <w:rsid w:val="008C74C8"/>
    <w:rsid w:val="008F54EE"/>
    <w:rsid w:val="00915F9F"/>
    <w:rsid w:val="00935020"/>
    <w:rsid w:val="00937DE6"/>
    <w:rsid w:val="00942C2A"/>
    <w:rsid w:val="00942E8F"/>
    <w:rsid w:val="00990D61"/>
    <w:rsid w:val="009B401F"/>
    <w:rsid w:val="009D1D81"/>
    <w:rsid w:val="00A805B0"/>
    <w:rsid w:val="00A80C85"/>
    <w:rsid w:val="00AA34F9"/>
    <w:rsid w:val="00B059ED"/>
    <w:rsid w:val="00B2380E"/>
    <w:rsid w:val="00B919F4"/>
    <w:rsid w:val="00BE175B"/>
    <w:rsid w:val="00BF03AD"/>
    <w:rsid w:val="00BF10AB"/>
    <w:rsid w:val="00C12C29"/>
    <w:rsid w:val="00C41B80"/>
    <w:rsid w:val="00C5494B"/>
    <w:rsid w:val="00C727DE"/>
    <w:rsid w:val="00C92719"/>
    <w:rsid w:val="00C9374E"/>
    <w:rsid w:val="00CA10EF"/>
    <w:rsid w:val="00CA314C"/>
    <w:rsid w:val="00CC01C5"/>
    <w:rsid w:val="00D34420"/>
    <w:rsid w:val="00D37E5B"/>
    <w:rsid w:val="00D45C83"/>
    <w:rsid w:val="00D661E5"/>
    <w:rsid w:val="00D81FD0"/>
    <w:rsid w:val="00DA234B"/>
    <w:rsid w:val="00DD3337"/>
    <w:rsid w:val="00DD5B5E"/>
    <w:rsid w:val="00DE4E43"/>
    <w:rsid w:val="00E13682"/>
    <w:rsid w:val="00E84095"/>
    <w:rsid w:val="00EE0646"/>
    <w:rsid w:val="00F07D94"/>
    <w:rsid w:val="00F17B8A"/>
    <w:rsid w:val="00F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8F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94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5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660"/>
    <w:rPr>
      <w:rFonts w:ascii="Tahoma" w:eastAsia="Times New Roman" w:hAnsi="Tahoma" w:cs="Times New Roman"/>
      <w:sz w:val="20"/>
      <w:szCs w:val="24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871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660"/>
    <w:rPr>
      <w:rFonts w:ascii="Tahoma" w:eastAsia="Times New Roman" w:hAnsi="Tahoma" w:cs="Times New Roman"/>
      <w:sz w:val="20"/>
      <w:szCs w:val="24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8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8D"/>
    <w:rPr>
      <w:rFonts w:ascii="Tahoma" w:eastAsia="Times New Roman" w:hAnsi="Tahoma" w:cs="Tahoma"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8F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94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5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660"/>
    <w:rPr>
      <w:rFonts w:ascii="Tahoma" w:eastAsia="Times New Roman" w:hAnsi="Tahoma" w:cs="Times New Roman"/>
      <w:sz w:val="20"/>
      <w:szCs w:val="24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871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660"/>
    <w:rPr>
      <w:rFonts w:ascii="Tahoma" w:eastAsia="Times New Roman" w:hAnsi="Tahoma" w:cs="Times New Roman"/>
      <w:sz w:val="20"/>
      <w:szCs w:val="24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8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8D"/>
    <w:rPr>
      <w:rFonts w:ascii="Tahoma" w:eastAsia="Times New Roman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301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307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24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894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3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084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5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17E4D794</Template>
  <TotalTime>0</TotalTime>
  <Pages>1</Pages>
  <Words>617</Words>
  <Characters>3399</Characters>
  <Application>Microsoft Office Word</Application>
  <DocSecurity>4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ROCTEUR Philippe</dc:creator>
  <cp:lastModifiedBy>BERG Sebastien</cp:lastModifiedBy>
  <cp:revision>2</cp:revision>
  <cp:lastPrinted>2017-03-02T07:07:00Z</cp:lastPrinted>
  <dcterms:created xsi:type="dcterms:W3CDTF">2017-03-29T12:38:00Z</dcterms:created>
  <dcterms:modified xsi:type="dcterms:W3CDTF">2017-03-29T12:38:00Z</dcterms:modified>
</cp:coreProperties>
</file>